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BB" w:rsidRDefault="001B7C11" w:rsidP="0038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 РФ №27</w:t>
      </w:r>
      <w:r w:rsidR="00F252BB">
        <w:rPr>
          <w:sz w:val="28"/>
          <w:szCs w:val="28"/>
        </w:rPr>
        <w:t>72047</w:t>
      </w:r>
      <w:r>
        <w:rPr>
          <w:sz w:val="28"/>
          <w:szCs w:val="28"/>
        </w:rPr>
        <w:t xml:space="preserve"> </w:t>
      </w:r>
      <w:r w:rsidR="00DD3FE9">
        <w:rPr>
          <w:sz w:val="28"/>
          <w:szCs w:val="28"/>
        </w:rPr>
        <w:t>«</w:t>
      </w:r>
      <w:r w:rsidR="00F252BB" w:rsidRPr="00F252BB">
        <w:rPr>
          <w:sz w:val="28"/>
          <w:szCs w:val="28"/>
        </w:rPr>
        <w:t>Набор х</w:t>
      </w:r>
      <w:bookmarkStart w:id="0" w:name="_GoBack"/>
      <w:bookmarkEnd w:id="0"/>
      <w:r w:rsidR="00F252BB" w:rsidRPr="00F252BB">
        <w:rPr>
          <w:sz w:val="28"/>
          <w:szCs w:val="28"/>
        </w:rPr>
        <w:t>ирургических инструментов для стернотомии</w:t>
      </w:r>
      <w:r w:rsidR="00F252BB">
        <w:rPr>
          <w:sz w:val="28"/>
          <w:szCs w:val="28"/>
        </w:rPr>
        <w:t>»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F252BB">
        <w:rPr>
          <w:sz w:val="28"/>
          <w:szCs w:val="28"/>
        </w:rPr>
        <w:t xml:space="preserve">д.м.н. Скворцов А.П., </w:t>
      </w:r>
      <w:r w:rsidR="00F252BB">
        <w:rPr>
          <w:sz w:val="28"/>
          <w:szCs w:val="28"/>
        </w:rPr>
        <w:t xml:space="preserve">Бизяева Л.Н., Калямова А.В., </w:t>
      </w:r>
      <w:r w:rsidR="00DD3FE9">
        <w:rPr>
          <w:sz w:val="28"/>
          <w:szCs w:val="28"/>
        </w:rPr>
        <w:t xml:space="preserve">к.м.н. </w:t>
      </w:r>
      <w:r w:rsidR="00310280">
        <w:rPr>
          <w:sz w:val="28"/>
          <w:szCs w:val="28"/>
        </w:rPr>
        <w:t>Андреев П.С.</w:t>
      </w:r>
      <w:r w:rsidR="00F252BB">
        <w:rPr>
          <w:sz w:val="28"/>
          <w:szCs w:val="28"/>
        </w:rPr>
        <w:t xml:space="preserve"> </w:t>
      </w:r>
    </w:p>
    <w:p w:rsidR="001B7C11" w:rsidRDefault="001B7C11" w:rsidP="00DD3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Патентообладатель: Государственное автономное учреждение здравоохранения "Республиканская клиническая больница Министерства здравоохранения Республики Татарстан"</w:t>
      </w:r>
    </w:p>
    <w:p w:rsidR="00DD3FE9" w:rsidRDefault="00DD3FE9" w:rsidP="00DD3FE9">
      <w:pPr>
        <w:ind w:firstLine="709"/>
        <w:jc w:val="both"/>
        <w:rPr>
          <w:sz w:val="28"/>
          <w:szCs w:val="28"/>
        </w:rPr>
      </w:pPr>
    </w:p>
    <w:p w:rsidR="00F252BB" w:rsidRDefault="003842A7" w:rsidP="00D451BE">
      <w:pPr>
        <w:ind w:firstLine="709"/>
        <w:jc w:val="both"/>
        <w:rPr>
          <w:rFonts w:eastAsia="Calibri"/>
          <w:sz w:val="28"/>
          <w:szCs w:val="28"/>
        </w:rPr>
      </w:pPr>
      <w:r w:rsidRPr="00C702E7">
        <w:rPr>
          <w:rFonts w:eastAsia="Calibri"/>
          <w:sz w:val="28"/>
          <w:szCs w:val="28"/>
        </w:rPr>
        <w:t xml:space="preserve">Изобретение относится </w:t>
      </w:r>
    </w:p>
    <w:p w:rsidR="00F252BB" w:rsidRDefault="00F252BB" w:rsidP="00F252BB">
      <w:pPr>
        <w:ind w:firstLine="709"/>
        <w:jc w:val="both"/>
        <w:rPr>
          <w:rFonts w:eastAsia="Calibri"/>
          <w:sz w:val="28"/>
          <w:szCs w:val="28"/>
        </w:rPr>
      </w:pPr>
      <w:r w:rsidRPr="00F252BB">
        <w:rPr>
          <w:rFonts w:eastAsia="Calibri"/>
          <w:sz w:val="28"/>
          <w:szCs w:val="28"/>
        </w:rPr>
        <w:t>Изобретение относится к хирургическим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инструментам и может быть использовано при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стернотомии, при различных видах деформации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грудной клетки, а также при производстве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доступа при кардиологических заболеваниях.</w:t>
      </w:r>
    </w:p>
    <w:p w:rsidR="00F252BB" w:rsidRDefault="00F252BB" w:rsidP="00F252BB">
      <w:pPr>
        <w:ind w:firstLine="709"/>
        <w:jc w:val="both"/>
        <w:rPr>
          <w:rFonts w:eastAsia="Calibri"/>
          <w:sz w:val="28"/>
          <w:szCs w:val="28"/>
        </w:rPr>
      </w:pPr>
      <w:r w:rsidRPr="00F252BB">
        <w:rPr>
          <w:rFonts w:eastAsia="Calibri"/>
          <w:sz w:val="28"/>
          <w:szCs w:val="28"/>
        </w:rPr>
        <w:t>Сегодня известны различные пневматические, и электрические, пилящие, и режущие,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инструменты, в числе которых и стернотом, содержащий съемное режущее зубчатое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полотно, движение которого и обеспечивает выполнение стернотомии. Несмотря на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быстроту выполнения манипуляции, основным недостатком данных инструментов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является именно высокая скорость возвратно-поступательных движений (до 15-20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тысяч в минуту). Такая скорость движения режущей части инструмента приводит к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ожогу кости, и замедленному срастанию, или несрастанию вообще, фрагментов грудины.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Учитывая то, что грудина - это кость, находящаяся в движении соответственно экскурсии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легких, в дальнейшем, при условии замедленного срастания фрагментов грудины,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возможно формирование различных видов ее деформации. Об этом свидетельствует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тот факт, что курганская школа ортопедов, созданная Г.А. Илизаровым, при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производстве остеотомии, или кортикотомии, с целью формирования дистракционного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регенерата, никогда не использует пилящие инструменты. Применение этих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инструментов ведет к ожогу кости и крайне замедленному формированию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дистракционного регенерата в месте перелома, или остеотомии. Кроме того,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костная стружка, образующаяся при пилении, забивает костно-мозговой канал, что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нарушает внутрикостное кровоснабжение и приводит к замедленной консолидации</w:t>
      </w:r>
      <w:r>
        <w:rPr>
          <w:rFonts w:eastAsia="Calibri"/>
          <w:sz w:val="28"/>
          <w:szCs w:val="28"/>
        </w:rPr>
        <w:t xml:space="preserve"> </w:t>
      </w:r>
      <w:r w:rsidRPr="00F252BB">
        <w:rPr>
          <w:rFonts w:eastAsia="Calibri"/>
          <w:sz w:val="28"/>
          <w:szCs w:val="28"/>
        </w:rPr>
        <w:t>образованных фрагментов грудины.</w:t>
      </w:r>
    </w:p>
    <w:p w:rsidR="00F252BB" w:rsidRP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Сущность изобретения заключается в разработке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конструкции инструментов, обеспечивающей снижение травматичности при оперативном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лечении килевидной, воронкообразной, деформации грудины, и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чрезгрудинного доступа при кардиологических операциях.</w:t>
      </w:r>
    </w:p>
    <w:p w:rsidR="00F252BB" w:rsidRP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 фиг. 1 показан набор хирургических инструментов для стернотомии в собранном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виде для выполнения операции, где: 1 - направляющая пластина, 2 - продольный паз,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 xml:space="preserve">3 - подвижная рукоятка; 4 - хвостовик пластины; 5 - вертикальный буртик; 6 </w:t>
      </w:r>
      <w:r>
        <w:rPr>
          <w:rFonts w:eastAsiaTheme="minorHAnsi"/>
          <w:sz w:val="28"/>
          <w:szCs w:val="28"/>
          <w:lang w:eastAsia="en-US"/>
        </w:rPr>
        <w:t>–</w:t>
      </w:r>
      <w:r w:rsidRPr="00F252BB">
        <w:rPr>
          <w:rFonts w:eastAsiaTheme="minorHAnsi"/>
          <w:sz w:val="28"/>
          <w:szCs w:val="28"/>
          <w:lang w:eastAsia="en-US"/>
        </w:rPr>
        <w:t xml:space="preserve"> основание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подвижной части рукоятки 3; 7 - крепежный винт, соединяющий хвостовик 4 и основание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6; 13 - рубящий инструмент; 14 - лезвие рубящего инструмента; 15 - режущая кромка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рубящего инструмента; 16 - шейка ручки инструмента 13; 17 - ручка инструмента 13;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18 - боек; 19 - винт; 20 - выпуклая ограничительная пластина; 21 - головка Т-образного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выступа; 22 - ножка; 23 - шлиц на торце ножки 22.</w:t>
      </w:r>
    </w:p>
    <w:p w:rsidR="00DC47FC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05DD83DF" wp14:editId="0A3DDD34">
            <wp:extent cx="5266690" cy="290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1342" cy="291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 xml:space="preserve">На фиг. 2 - узел подвижной рукоятки, где: 4 - хвостовик пластины; 5 </w:t>
      </w:r>
      <w:r>
        <w:rPr>
          <w:rFonts w:eastAsiaTheme="minorHAnsi"/>
          <w:sz w:val="28"/>
          <w:szCs w:val="28"/>
          <w:lang w:eastAsia="en-US"/>
        </w:rPr>
        <w:t>–</w:t>
      </w:r>
      <w:r w:rsidRPr="00F252BB">
        <w:rPr>
          <w:rFonts w:eastAsiaTheme="minorHAnsi"/>
          <w:sz w:val="28"/>
          <w:szCs w:val="28"/>
          <w:lang w:eastAsia="en-US"/>
        </w:rPr>
        <w:t xml:space="preserve"> вертикальный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буртик; 6 - основание подвижной части рукоятки 3; 7 - крепежный винт, соединяющий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 xml:space="preserve">хвостовик 4 и основание 6; 10 - винт; 11 - ограничительная шайба; 12 </w:t>
      </w:r>
      <w:r>
        <w:rPr>
          <w:rFonts w:eastAsiaTheme="minorHAnsi"/>
          <w:sz w:val="28"/>
          <w:szCs w:val="28"/>
          <w:lang w:eastAsia="en-US"/>
        </w:rPr>
        <w:t>–</w:t>
      </w:r>
      <w:r w:rsidRPr="00F252BB">
        <w:rPr>
          <w:rFonts w:eastAsiaTheme="minorHAnsi"/>
          <w:sz w:val="28"/>
          <w:szCs w:val="28"/>
          <w:lang w:eastAsia="en-US"/>
        </w:rPr>
        <w:t xml:space="preserve"> цилиндрическая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выемка.</w:t>
      </w:r>
    </w:p>
    <w:p w:rsidR="00DC47FC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C47FC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E7334E0" wp14:editId="7CF57EDC">
            <wp:extent cx="4551680" cy="31623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7108" cy="317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7FC" w:rsidRPr="00F252BB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 фиг. 3 - разрез А-А, с видом на верхнюю поверхность хвостовика 4 пластины 1,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где: 4 - хвостовик; 5 - вертикальный буртик; 7 - винт; 8 - пазы прямоугольной формы.</w:t>
      </w:r>
    </w:p>
    <w:p w:rsidR="00DC47FC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C47FC" w:rsidRPr="00F252BB" w:rsidRDefault="00DC47FC" w:rsidP="00DC47FC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239D8749" wp14:editId="7F43F9AD">
            <wp:extent cx="3691518" cy="33337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0934" cy="334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 фиг. 4 - разрез Б-Б, с видом на нижнюю поверхность основания 6 подвижной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части рукоятки 3, где: 6 - основание подвижной части рукоятки 3; 7 - крепежный винт;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9 - продольный выступ.</w:t>
      </w:r>
    </w:p>
    <w:p w:rsidR="00DC47FC" w:rsidRPr="00F252BB" w:rsidRDefault="00DC47FC" w:rsidP="00DC47FC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5E5A3D" wp14:editId="26E7E93E">
            <wp:extent cx="3860137" cy="410845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0397" cy="414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 фиг. 5 показан рубящий инструмент 13, где: 14 - лезвие, 15 - режущая кромка; 21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- Т-образный выступ; 22 - ножка выступа; 23 - шлиц на торце ножки 22.</w:t>
      </w:r>
    </w:p>
    <w:p w:rsidR="00DC47FC" w:rsidRDefault="00DC47FC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C47FC" w:rsidRPr="00F252BB" w:rsidRDefault="00DC47FC" w:rsidP="00DC47FC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18205923" wp14:editId="120EE5FA">
            <wp:extent cx="4230837" cy="3587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0778" cy="359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2BB" w:rsidRP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Набор хирургических инструментов для стернотомии состоит из двух инструментов,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один из которых - направляющая пластина 1 с отогнутым кверху, закругленным рабочим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концом, и продольным пазом 2 по оси, оснащенная подвижной рукояткой 3. Рукоятка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установлена на хвостовике пластины 4 в виде шайбы, приподнятом над поверхностью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направляющей пластины 1, и отделенном от нее вертикальным буртиком 5,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охватывающим хвостовик 4 на ширину упомянутой пластины 1. Хвостовик 4 соединен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с основанием 6 подвижной части рукоятки 3 в виде шайбы, крепежным винтом 7,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установленным в отверстие по центру шайб хвостовика 4 и основания 6. По внешнему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контуру верхней поверхности хвостовика 4 радиально расположены три, одинаковых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 xml:space="preserve">по размерам, прямоугольных паза 8, один из которых - вдоль оси, а два других </w:t>
      </w:r>
      <w:r w:rsidR="00DC47FC">
        <w:rPr>
          <w:rFonts w:eastAsiaTheme="minorHAnsi"/>
          <w:sz w:val="28"/>
          <w:szCs w:val="28"/>
          <w:lang w:eastAsia="en-US"/>
        </w:rPr>
        <w:t>–</w:t>
      </w:r>
      <w:r w:rsidRPr="00F252BB">
        <w:rPr>
          <w:rFonts w:eastAsiaTheme="minorHAnsi"/>
          <w:sz w:val="28"/>
          <w:szCs w:val="28"/>
          <w:lang w:eastAsia="en-US"/>
        </w:rPr>
        <w:t xml:space="preserve"> по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обе стороны от него, под углом 45 градусов к продольной оси. На нижней поверхности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основания 6 подвижной части рукоятки 3 выполнен продольный выступ 9, по форме,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и размерам, соответствующий пазам 8 на хвостовике 4 пластины 1. На торце стержня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крепежного винта 7 установлена, и закреплена винтом 10 меньшего диаметра,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ограничительная шайба 11, размещенная в цилиндрической выемке 12 на нижней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поверхности хвостовика 4. Глубина выемки 12 на нижней поверхности хвостовика 4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превышает сумму размеров толщины ограничительной шайбы 11 и высоты выступа 9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на нижней поверхности основания 6 подвижной части рукоятки 3 в виде шайбы.</w:t>
      </w:r>
    </w:p>
    <w:p w:rsidR="00F252BB" w:rsidRP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Второй инструмент 13 - рубящий, с рабочей частью в виде вертикального лезвия 14,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с режущей кромкой 15, высота лезвия 14 которого не превышает 8 мм. Тыльная сторона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лезвия 14 плавно переходит в шейку 16 ручки 17, образующей тупой угол с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горизонтальными поверхностями лезвия 14 и ручки 17, на свободном конце которой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расположен боек 18. На верхней поверхности лезвия 14, над режущей кромкой 15, 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перпендикулярно ей, установлена, и закреплена с помощью винта 19, выпуклая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 xml:space="preserve">ограничительная пластина 20, края </w:t>
      </w:r>
      <w:r w:rsidRPr="00F252BB">
        <w:rPr>
          <w:rFonts w:eastAsiaTheme="minorHAnsi"/>
          <w:sz w:val="28"/>
          <w:szCs w:val="28"/>
          <w:lang w:eastAsia="en-US"/>
        </w:rPr>
        <w:lastRenderedPageBreak/>
        <w:t>которой выступают за боковые контуры лезвия 14.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Рубящий инструмент 13 установлен, и закреплен с возможностью продольных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перемещений, в паз 2 направляющей пластины 1 с помощью Т-образного выступа 21,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который установлен, и закреплен со стороны нижней поверхности лезвия 14, в сквозном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резьбовом отверстии, выполненном у основания шейки ручки 16. Конец ножки Т-образного выступа 21 оснащен резьбой. Высота выступающей части ножки 22 выступа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21 соответствует толщине направляющей пластины 1. Диаметр выступающей части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ножки 22, и ширина головки выступа 21, соответствуют ширине паза 2 в направляющей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пластине 1, длина головки выступа 21 превышает ширину паза 2. На торце ножки 22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выполнен шлиц 23 под отвертку, который расположен вдоль головки выступа 21, при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этом торец ножки 22 Т-образного выступа 21 не выступает за уровень выпуклой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ограничительной пластины 20.</w:t>
      </w:r>
    </w:p>
    <w:p w:rsidR="00F252BB" w:rsidRPr="00F252BB" w:rsidRDefault="00F252BB" w:rsidP="00F252B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Набор инструментов используют следующим образом.</w:t>
      </w:r>
    </w:p>
    <w:p w:rsidR="00F252BB" w:rsidRPr="00DC47FC" w:rsidRDefault="00F252BB" w:rsidP="00DC47F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52BB">
        <w:rPr>
          <w:rFonts w:eastAsiaTheme="minorHAnsi"/>
          <w:sz w:val="28"/>
          <w:szCs w:val="28"/>
          <w:lang w:eastAsia="en-US"/>
        </w:rPr>
        <w:t>После обработки операционного поля раствором спирта, йода, отросток грудины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отсекают от тела в поперечном направлении. Выполняют небольшой разрез кожи 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мягких тканей длиной 5-10 мм в проекции средней линии грудины, продольно, на уровне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перехода отростка грудины в тело. Под кожу, мягкие ткани, и грудину вводят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направляющую пластину 1, которую на данном этапе операции используют как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распатор, удерживая ее, и направляя, за подвижную рукоятку 3, установленную по оси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направляющей пластины 1. При достижении направляющей пластины 1 грудинной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вырезки, для удобства выполнения стернотомии, подвижную рукоятку 3 переводят в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положение «под углом», для чего ослабляют крепежный винт 7, соединяющий хвостовик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4 с основанием 6 подвижной части рукоятки 3, выворачивая его из хвостовика 4. При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этом ограничительная шайба 11, установленная, и закрепленная на стержне крепежного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винта 7 винтом 10, меньшего диаметра, размещенная в цилиндрической выемке 12 на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нижней поверхности хвостовика 4, удерживает хвостовик 4 и основание 6 от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разъединения. Ход винта при ослаблении ограничен глубиной выемки 12, и не превышает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суммы размеров толщины ограничительной шайбы 11 и высоты выступа 9 на нижней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поверхности основания 6. Приподнимают подвижную часть рукоятки 3, выводя выступ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9, расположенный на нижней поверхности основания 6 подвижной части рукоятки 3,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из осевого паза 8 на хвостовике 4 и, поворачивая рукоятку 3 в ту сторону, на которой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находится ассистент, устанавливают выступ 9 в соответствующий боковой паз 8 на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хвостовике 4. Положение ручки 3, с отклонением от оси на 45 градусов, фиксируют,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затягивая крепежный винт 7.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Приступают к установке второго, рубящего инструмента 13, для чего шлиц 23 на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торце ножки 22 устанавливают по продольной оси инструмента, и поскольку он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расположен вдоль головки выступа 21, то головка войдет в паз 2 направляющей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пластины 1. Переводят шлиц 23 в поперечное положение, чем закрепляют рубящий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инструмент 13 в направляющей пластине 2, с возможностью перемещения вдоль паза.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Pr="00F252BB">
        <w:rPr>
          <w:rFonts w:eastAsiaTheme="minorHAnsi"/>
          <w:sz w:val="28"/>
          <w:szCs w:val="28"/>
          <w:lang w:eastAsia="en-US"/>
        </w:rPr>
        <w:t>Стернотомию осуществляют, нанося удары молотком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="00DC47FC" w:rsidRPr="00DC47FC">
        <w:rPr>
          <w:rFonts w:eastAsiaTheme="minorHAnsi"/>
          <w:sz w:val="28"/>
          <w:szCs w:val="28"/>
          <w:lang w:eastAsia="en-US"/>
        </w:rPr>
        <w:t>по бойку 18, расположенному</w:t>
      </w:r>
      <w:r w:rsidR="00DC47FC">
        <w:rPr>
          <w:rFonts w:eastAsiaTheme="minorHAnsi"/>
          <w:sz w:val="28"/>
          <w:szCs w:val="28"/>
          <w:lang w:eastAsia="en-US"/>
        </w:rPr>
        <w:t xml:space="preserve"> </w:t>
      </w:r>
      <w:r w:rsidR="00DC47FC" w:rsidRPr="00DC47FC">
        <w:rPr>
          <w:rFonts w:eastAsiaTheme="minorHAnsi"/>
          <w:sz w:val="28"/>
          <w:szCs w:val="28"/>
          <w:lang w:eastAsia="en-US"/>
        </w:rPr>
        <w:t>на свободном конце рубящего инструмента.</w:t>
      </w:r>
    </w:p>
    <w:p w:rsidR="003842A7" w:rsidRDefault="003842A7" w:rsidP="00310280">
      <w:pPr>
        <w:ind w:firstLine="709"/>
        <w:jc w:val="both"/>
        <w:rPr>
          <w:sz w:val="28"/>
          <w:szCs w:val="28"/>
        </w:rPr>
      </w:pPr>
    </w:p>
    <w:sectPr w:rsidR="003842A7" w:rsidSect="006570A6">
      <w:headerReference w:type="even" r:id="rId13"/>
      <w:headerReference w:type="default" r:id="rId14"/>
      <w:footerReference w:type="default" r:id="rId15"/>
      <w:footerReference w:type="first" r:id="rId16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5D" w:rsidRDefault="00B5675D" w:rsidP="00CC76B2">
      <w:r>
        <w:separator/>
      </w:r>
    </w:p>
  </w:endnote>
  <w:endnote w:type="continuationSeparator" w:id="0">
    <w:p w:rsidR="00B5675D" w:rsidRDefault="00B5675D" w:rsidP="00CC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41119"/>
      <w:docPartObj>
        <w:docPartGallery w:val="Page Numbers (Bottom of Page)"/>
        <w:docPartUnique/>
      </w:docPartObj>
    </w:sdtPr>
    <w:sdtEndPr/>
    <w:sdtContent>
      <w:p w:rsidR="00DD7538" w:rsidRDefault="00DD7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B4">
          <w:rPr>
            <w:noProof/>
          </w:rPr>
          <w:t>5</w:t>
        </w:r>
        <w:r>
          <w:fldChar w:fldCharType="end"/>
        </w:r>
      </w:p>
    </w:sdtContent>
  </w:sdt>
  <w:p w:rsidR="00DD7538" w:rsidRDefault="00DD75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828900"/>
      <w:docPartObj>
        <w:docPartGallery w:val="Page Numbers (Bottom of Page)"/>
        <w:docPartUnique/>
      </w:docPartObj>
    </w:sdtPr>
    <w:sdtEndPr/>
    <w:sdtContent>
      <w:p w:rsidR="00DD7538" w:rsidRDefault="00DD7538" w:rsidP="00745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B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5D" w:rsidRDefault="00B5675D" w:rsidP="00CC76B2">
      <w:r>
        <w:separator/>
      </w:r>
    </w:p>
  </w:footnote>
  <w:footnote w:type="continuationSeparator" w:id="0">
    <w:p w:rsidR="00B5675D" w:rsidRDefault="00B5675D" w:rsidP="00CC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7538" w:rsidRDefault="00DD75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38" w:rsidRDefault="00DD7538">
    <w:pPr>
      <w:pStyle w:val="a4"/>
      <w:framePr w:wrap="around" w:vAnchor="text" w:hAnchor="margin" w:xAlign="center" w:y="1"/>
      <w:rPr>
        <w:rStyle w:val="a3"/>
      </w:rPr>
    </w:pPr>
  </w:p>
  <w:p w:rsidR="00DD7538" w:rsidRDefault="00DD7538" w:rsidP="00CC76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5.5pt;height:24.5pt;visibility:visible;mso-wrap-style:square" o:bullet="t">
        <v:imagedata r:id="rId1" o:title=""/>
      </v:shape>
    </w:pict>
  </w:numPicBullet>
  <w:abstractNum w:abstractNumId="0" w15:restartNumberingAfterBreak="0">
    <w:nsid w:val="053B6917"/>
    <w:multiLevelType w:val="multilevel"/>
    <w:tmpl w:val="053B6917"/>
    <w:lvl w:ilvl="0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9"/>
        </w:tabs>
        <w:ind w:left="7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9"/>
        </w:tabs>
        <w:ind w:left="8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9"/>
        </w:tabs>
        <w:ind w:left="9089" w:hanging="360"/>
      </w:pPr>
      <w:rPr>
        <w:rFonts w:ascii="Wingdings" w:hAnsi="Wingdings" w:hint="default"/>
      </w:rPr>
    </w:lvl>
  </w:abstractNum>
  <w:abstractNum w:abstractNumId="1" w15:restartNumberingAfterBreak="0">
    <w:nsid w:val="3BA208CC"/>
    <w:multiLevelType w:val="singleLevel"/>
    <w:tmpl w:val="3828B5A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400F533E"/>
    <w:multiLevelType w:val="hybridMultilevel"/>
    <w:tmpl w:val="28F6C706"/>
    <w:lvl w:ilvl="0" w:tplc="EC02A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0B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09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3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66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A2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C6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E7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AC07A1"/>
    <w:multiLevelType w:val="singleLevel"/>
    <w:tmpl w:val="B89E15FA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5"/>
    <w:rsid w:val="000264D6"/>
    <w:rsid w:val="000346BE"/>
    <w:rsid w:val="000C349D"/>
    <w:rsid w:val="000F2A7B"/>
    <w:rsid w:val="001057E5"/>
    <w:rsid w:val="001B1C05"/>
    <w:rsid w:val="001B7C11"/>
    <w:rsid w:val="00201BA4"/>
    <w:rsid w:val="00223507"/>
    <w:rsid w:val="0022602F"/>
    <w:rsid w:val="0029654A"/>
    <w:rsid w:val="00310280"/>
    <w:rsid w:val="003142FB"/>
    <w:rsid w:val="003606A6"/>
    <w:rsid w:val="003842A7"/>
    <w:rsid w:val="003B3F52"/>
    <w:rsid w:val="003C5E48"/>
    <w:rsid w:val="003F0C4F"/>
    <w:rsid w:val="00410C80"/>
    <w:rsid w:val="0044435F"/>
    <w:rsid w:val="0048531F"/>
    <w:rsid w:val="00504FEB"/>
    <w:rsid w:val="0055023A"/>
    <w:rsid w:val="005E7B2A"/>
    <w:rsid w:val="00616FC2"/>
    <w:rsid w:val="006570A6"/>
    <w:rsid w:val="006F6311"/>
    <w:rsid w:val="00713F70"/>
    <w:rsid w:val="00745B7E"/>
    <w:rsid w:val="00752432"/>
    <w:rsid w:val="00753C57"/>
    <w:rsid w:val="007743D9"/>
    <w:rsid w:val="007C0811"/>
    <w:rsid w:val="007D4D8A"/>
    <w:rsid w:val="007E2298"/>
    <w:rsid w:val="00816CE4"/>
    <w:rsid w:val="00823C2F"/>
    <w:rsid w:val="0087622C"/>
    <w:rsid w:val="00896381"/>
    <w:rsid w:val="00952612"/>
    <w:rsid w:val="00977252"/>
    <w:rsid w:val="00992567"/>
    <w:rsid w:val="009E404D"/>
    <w:rsid w:val="00A828C3"/>
    <w:rsid w:val="00A86956"/>
    <w:rsid w:val="00AA0999"/>
    <w:rsid w:val="00B11ACB"/>
    <w:rsid w:val="00B5675D"/>
    <w:rsid w:val="00BB2291"/>
    <w:rsid w:val="00BE2EA1"/>
    <w:rsid w:val="00BF674F"/>
    <w:rsid w:val="00C13A4C"/>
    <w:rsid w:val="00C23BEF"/>
    <w:rsid w:val="00C546CB"/>
    <w:rsid w:val="00CC6C94"/>
    <w:rsid w:val="00CC76B2"/>
    <w:rsid w:val="00CD22B4"/>
    <w:rsid w:val="00D451BE"/>
    <w:rsid w:val="00D47715"/>
    <w:rsid w:val="00DB53AD"/>
    <w:rsid w:val="00DB6787"/>
    <w:rsid w:val="00DC47FC"/>
    <w:rsid w:val="00DD3FE9"/>
    <w:rsid w:val="00DD7538"/>
    <w:rsid w:val="00E633B2"/>
    <w:rsid w:val="00EA09D2"/>
    <w:rsid w:val="00ED07B1"/>
    <w:rsid w:val="00F252BB"/>
    <w:rsid w:val="00F63285"/>
    <w:rsid w:val="00F8005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A624"/>
  <w15:docId w15:val="{3B9A91F8-862E-4717-A71D-9936D9C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1C05"/>
  </w:style>
  <w:style w:type="paragraph" w:styleId="a4">
    <w:name w:val="header"/>
    <w:basedOn w:val="a"/>
    <w:link w:val="a5"/>
    <w:rsid w:val="001B1C0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B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C7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546CB"/>
    <w:pPr>
      <w:ind w:left="720"/>
      <w:contextualSpacing/>
    </w:pPr>
  </w:style>
  <w:style w:type="character" w:styleId="ab">
    <w:name w:val="Strong"/>
    <w:basedOn w:val="a0"/>
    <w:uiPriority w:val="22"/>
    <w:qFormat/>
    <w:rsid w:val="0038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591E-44A3-4CE7-A7AB-C333B4D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Бабушка</dc:creator>
  <cp:lastModifiedBy>Малеев</cp:lastModifiedBy>
  <cp:revision>6</cp:revision>
  <cp:lastPrinted>2020-09-11T08:34:00Z</cp:lastPrinted>
  <dcterms:created xsi:type="dcterms:W3CDTF">2022-03-31T06:03:00Z</dcterms:created>
  <dcterms:modified xsi:type="dcterms:W3CDTF">2022-06-06T08:38:00Z</dcterms:modified>
</cp:coreProperties>
</file>